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50FD2B6" w14:textId="6D4AEBF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1B134CD0" w14:textId="2A7E76E8" w:rsidR="00AA063C" w:rsidRDefault="00AA063C">
            <w:pPr>
              <w:rPr>
                <w:rFonts w:ascii="Arial Narrow" w:eastAsia="Arial Narrow" w:hAnsi="Arial Narrow" w:cs="Arial Narrow"/>
              </w:rPr>
            </w:pPr>
          </w:p>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p w14:paraId="66474E37" w14:textId="266041DE"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8907516" w14:textId="730E5777" w:rsidR="00AA063C" w:rsidRDefault="00AA063C">
            <w:pPr>
              <w:jc w:val="both"/>
              <w:rPr>
                <w:rFonts w:ascii="Arial Narrow" w:eastAsia="Arial Narrow" w:hAnsi="Arial Narrow" w:cs="Arial Narrow"/>
              </w:rPr>
            </w:pPr>
          </w:p>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p w14:paraId="51333258" w14:textId="1BD6A4DA" w:rsidR="00AA063C" w:rsidRDefault="00AA063C">
            <w:pPr>
              <w:jc w:val="both"/>
              <w:rPr>
                <w:rFonts w:ascii="Arial Narrow" w:eastAsia="Arial Narrow" w:hAnsi="Arial Narrow" w:cs="Arial Narrow"/>
              </w:rPr>
            </w:pPr>
          </w:p>
        </w:tc>
        <w:tc>
          <w:tcPr>
            <w:tcW w:w="4819" w:type="dxa"/>
            <w:gridSpan w:val="3"/>
            <w:tcBorders>
              <w:top w:val="single" w:sz="4" w:space="0" w:color="000000"/>
              <w:left w:val="single" w:sz="4" w:space="0" w:color="000000"/>
              <w:bottom w:val="nil"/>
              <w:right w:val="single" w:sz="4" w:space="0" w:color="000000"/>
            </w:tcBorders>
          </w:tcPr>
          <w:p w14:paraId="341F47BD" w14:textId="15341567" w:rsidR="00AA063C" w:rsidRDefault="00AA063C">
            <w:pPr>
              <w:jc w:val="both"/>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F0FFB79" w14:textId="53EC5E1B" w:rsidR="00AA063C" w:rsidRDefault="00AA063C">
            <w:pPr>
              <w:jc w:val="both"/>
              <w:rPr>
                <w:rFonts w:ascii="Arial Narrow" w:eastAsia="Arial Narrow" w:hAnsi="Arial Narrow" w:cs="Arial Narrow"/>
              </w:rPr>
            </w:pPr>
          </w:p>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6A4FF36" w14:textId="6E4B4436"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2DF835F" w14:textId="49EC9C46" w:rsidR="00AA063C" w:rsidRDefault="00AA063C">
            <w:pPr>
              <w:jc w:val="both"/>
              <w:rPr>
                <w:rFonts w:ascii="Arial Narrow" w:eastAsia="Arial Narrow" w:hAnsi="Arial Narrow" w:cs="Arial Narrow"/>
              </w:rPr>
            </w:pPr>
          </w:p>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p w14:paraId="68D0BAA6" w14:textId="7777777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A957475" w14:textId="77777777" w:rsidR="00AA063C" w:rsidRDefault="00AA063C">
            <w:pPr>
              <w:jc w:val="both"/>
              <w:rPr>
                <w:rFonts w:ascii="Arial Narrow" w:eastAsia="Arial Narrow" w:hAnsi="Arial Narrow" w:cs="Arial Narrow"/>
              </w:rPr>
            </w:pPr>
          </w:p>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p w14:paraId="3A8D3AED" w14:textId="77777777" w:rsidR="00AA063C" w:rsidRDefault="00AA063C">
            <w:pPr>
              <w:jc w:val="both"/>
              <w:rPr>
                <w:rFonts w:ascii="Arial Narrow" w:eastAsia="Arial Narrow" w:hAnsi="Arial Narrow" w:cs="Arial Narrow"/>
              </w:rPr>
            </w:pPr>
          </w:p>
        </w:tc>
        <w:tc>
          <w:tcPr>
            <w:tcW w:w="5684" w:type="dxa"/>
            <w:gridSpan w:val="4"/>
            <w:tcBorders>
              <w:top w:val="single" w:sz="4" w:space="0" w:color="000000"/>
              <w:left w:val="single" w:sz="4" w:space="0" w:color="000000"/>
              <w:bottom w:val="nil"/>
              <w:right w:val="single" w:sz="4" w:space="0" w:color="000000"/>
            </w:tcBorders>
          </w:tcPr>
          <w:p w14:paraId="571A5AF5" w14:textId="77777777" w:rsidR="00AA063C" w:rsidRDefault="00AA063C">
            <w:pPr>
              <w:rPr>
                <w:rFonts w:ascii="Arial Narrow" w:eastAsia="Arial Narrow" w:hAnsi="Arial Narrow" w:cs="Arial Narrow"/>
              </w:rPr>
            </w:pPr>
          </w:p>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p w14:paraId="4050A864" w14:textId="77777777" w:rsidR="00AA063C" w:rsidRDefault="00AA063C">
            <w:pPr>
              <w:rPr>
                <w:rFonts w:ascii="Arial Narrow" w:eastAsia="Arial Narrow" w:hAnsi="Arial Narrow" w:cs="Arial Narrow"/>
              </w:rPr>
            </w:pPr>
          </w:p>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p w14:paraId="7681499F" w14:textId="77777777" w:rsidR="00AA063C" w:rsidRDefault="00000000">
            <w:pPr>
              <w:rPr>
                <w:rFonts w:ascii="Arial Narrow" w:eastAsia="Arial Narrow" w:hAnsi="Arial Narrow" w:cs="Arial Narrow"/>
              </w:rPr>
            </w:pPr>
            <w:r>
              <w:rPr>
                <w:rFonts w:ascii="Arial Narrow" w:eastAsia="Arial Narrow" w:hAnsi="Arial Narrow" w:cs="Arial Narrow"/>
                <w:b/>
                <w:bCs/>
                <w:sz w:val="18"/>
                <w:szCs w:val="18"/>
              </w:rPr>
              <w:t>☐</w:t>
            </w:r>
          </w:p>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p w14:paraId="73635408" w14:textId="77777777" w:rsidR="00AA063C" w:rsidRDefault="00000000">
            <w:pPr>
              <w:rPr>
                <w:rFonts w:ascii="Arial Narrow" w:eastAsia="Arial Narrow" w:hAnsi="Arial Narrow" w:cs="Arial Narrow"/>
                <w:sz w:val="22"/>
                <w:szCs w:val="22"/>
              </w:rPr>
            </w:pPr>
            <w:r>
              <w:rPr>
                <w:rFonts w:ascii="Arial Narrow" w:eastAsia="Arial Narrow" w:hAnsi="Arial Narrow" w:cs="Arial Narrow"/>
                <w:b/>
                <w:bCs/>
                <w:sz w:val="18"/>
                <w:szCs w:val="18"/>
              </w:rPr>
              <w:t>☐</w:t>
            </w:r>
          </w:p>
        </w:tc>
        <w:tc>
          <w:tcPr>
            <w:tcW w:w="1424" w:type="dxa"/>
            <w:tcBorders>
              <w:top w:val="nil"/>
              <w:left w:val="single" w:sz="4" w:space="0" w:color="000000"/>
              <w:bottom w:val="single" w:sz="4" w:space="0" w:color="000000"/>
              <w:right w:val="nil"/>
            </w:tcBorders>
          </w:tcPr>
          <w:p w14:paraId="449BA487"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r>
              <w:rPr>
                <w:rFonts w:ascii="Arial Narrow" w:eastAsia="Arial Narrow" w:hAnsi="Arial Narrow" w:cs="Arial Narrow"/>
                <w:b/>
                <w:bCs/>
                <w:sz w:val="16"/>
                <w:szCs w:val="16"/>
              </w:rPr>
              <w:t>☐</w:t>
            </w:r>
          </w:p>
        </w:tc>
        <w:tc>
          <w:tcPr>
            <w:tcW w:w="1425" w:type="dxa"/>
            <w:tcBorders>
              <w:top w:val="nil"/>
              <w:left w:val="nil"/>
              <w:bottom w:val="single" w:sz="4" w:space="0" w:color="000000"/>
              <w:right w:val="single" w:sz="4" w:space="0" w:color="000000"/>
            </w:tcBorders>
          </w:tcPr>
          <w:p w14:paraId="22039EFE"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r>
              <w:rPr>
                <w:rFonts w:ascii="Arial Narrow" w:eastAsia="Arial Narrow" w:hAnsi="Arial Narrow" w:cs="Arial Narrow"/>
                <w:b/>
                <w:bCs/>
                <w:sz w:val="16"/>
                <w:szCs w:val="16"/>
              </w:rPr>
              <w:t>☐</w:t>
            </w:r>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x</w:t>
            </w:r>
            <w:r>
              <w:rPr>
                <w:rFonts w:ascii="Arial Narrow" w:eastAsia="Arial Narrow" w:hAnsi="Arial Narrow" w:cs="Arial Narrow"/>
                <w:b/>
                <w:bCs/>
                <w:sz w:val="18"/>
                <w:szCs w:val="18"/>
              </w:rPr>
              <w:t xml:space="preserve">de Ingreso   </w:t>
            </w:r>
            <w:r>
              <w:rPr>
                <w:rFonts w:ascii="Arial Narrow" w:eastAsia="Arial Narrow" w:hAnsi="Arial Narrow" w:cs="Arial Narrow"/>
                <w:b/>
                <w:bCs/>
                <w:sz w:val="18"/>
                <w:szCs w:val="18"/>
              </w:rPr>
              <w:t xml:space="preserve"> Reevaluación</w:t>
            </w:r>
          </w:p>
        </w:tc>
        <w:tc>
          <w:tcPr>
            <w:tcW w:w="2820" w:type="dxa"/>
            <w:gridSpan w:val="5"/>
            <w:tcBorders>
              <w:top w:val="single" w:sz="4" w:space="0" w:color="000000"/>
              <w:left w:val="nil"/>
              <w:bottom w:val="single" w:sz="4" w:space="0" w:color="000000"/>
              <w:right w:val="nil"/>
            </w:tcBorders>
            <w:shd w:val="clear" w:color="auto" w:fill="FDE9D9"/>
          </w:tcPr>
          <w:p w14:paraId="59696221" w14:textId="407EB971" w:rsidR="00AA063C" w:rsidRDefault="00C5680D">
            <w:pPr>
              <w:rPr>
                <w:rFonts w:ascii="Arial Narrow" w:eastAsia="Arial Narrow" w:hAnsi="Arial Narrow" w:cs="Arial Narrow"/>
                <w:sz w:val="18"/>
                <w:szCs w:val="18"/>
              </w:rPr>
            </w:pPr>
            <w:r>
              <w:rPr>
                <w:rFonts w:ascii="Segoe UI Symbol" w:eastAsia="Arial Narrow" w:hAnsi="Segoe UI Symbol" w:cs="Segoe UI Symbol"/>
                <w:b/>
                <w:bCs/>
                <w:sz w:val="18"/>
                <w:szCs w:val="18"/>
              </w:rPr>
              <w:t>☐</w:t>
            </w:r>
            <w:r>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47DC8049"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en la mantención de la atención durante periodos prolongados, logrando sostener el foco en tareas estructuradas y seguir instrucciones simples de manera autónoma. Cuenta con manejo funcional de herramientas tecnológicas, lo que favorece su participación en actividades guiadas y el acceso a recursos de apoyo para el aprendizaje. En lectura, demuestra habilidades básicas que le permiten acceder a textos y comprender información general. En escritura, logra producir textos con una estructura global coherente, aspecto que constituye una base relevante para continuar fortaleciendo la calidad de sus producciones. En el área matemática, resuelve operaciones simples cuando cuenta con apoyo o cuando las actividades se presentan de forma ordenada y paso a paso. Estos recursos, junto con su autonomía en tareas escolares básicas, permiten proyectar avances cuando se le entregan apoyos claros, sistemáticos y ajustados a sus necesidades.</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específico en el área matemática, principalmente en la comprensión de problemas, la selección de estrategias de resolución y la aplicación autónoma de procedimientos. También necesita fortalecer el razonamiento lógico-matemático y el establecimiento de relaciones entre conceptos, ya que estas habilidades inciden directamente en su desempeño en cálculo. En comprensión lectora, requiere mediación para identificar ideas principales y secundarias, realizar inferencias y profundizar en el significado de los textos. En expresión escrita, necesita apoyo para ampliar vocabulario, mejorar ortografía y organizar sus ideas con mayor precisión. Además, se observan necesidades en funciones ejecutivas, especialmente en planificación, organización de tareas, gestión del tiempo y transferencia de aprendizajes a contextos nuevos. Se recomienda entregar instrucciones segmentadas, modelar procedimientos, utilizar apoyos visuales y concretos, otorgar más tiempo en actividades de mayor complejidad y reforzar positivamente sus avances para favorecer seguridad y continuidad en la tarea.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Isabella presenta fortalezas socioafectivas que favorecen su participación en el contexto escolar. Se relaciona de manera adecuada con pares y adultos, respeta normas de convivencia y muestra disposición para colaborar en actividades grupales. Logra regular sus emociones en situaciones habituales y participa de forma positiva cuando las tareas son de su interés. Se observa capacidad para integrarse en dinámicas de aula, mantener una convivencia respetuosa y responder favorablemente a ambientes estructurados y de apoyo. La familia manifiesta una valoración positiva de su desempeño escolar y entrega acompañamiento frente a sus dificultades, destacándose el rol de la abuela materna como figura significativa de apoyo. Sus intereses por áreas como la psicología y la electrónica pueden ser considerados como recursos motivacionales para fortalecer su vínculo con el aprendizaje y su participación escolar.</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apoyo para fortalecer su motivación académica sostenida, especialmente frente a tareas que implican mayor exigencia cognitiva o que le generan inseguridad. Necesita continuar desarrollando autoconfianza académica, de manera que pueda enfrentar errores y desafíos como parte del proceso de aprendizaje. También requiere acompañamiento para aumentar la persistencia en actividades complejas, finalizar tareas y solicitar ayuda oportunamente cuando no comprende una instrucción o procedimiento. En situaciones de frustración, es importante entregarle estrategias de autorregulación y retroalimentación positiva centrada en el esfuerzo, evitando que las dificultades afecten su disposición a participar. Se sugiere promover metas breves y alcanzables, reconocer sus avances y vincular algunas actividades con sus intereses personales, para favorecer mayor compromiso, seguridad y autonomía. El apoyo emocional de la familia y del equipo escolar resulta relevante para sostener su participación activa y su bienestar en el proceso educativo.</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Para favorecer la inclusión y el progreso de Isabella, se requiere mantener un trabajo colaborativo sistemático entre el equipo de aula y el Programa de Integración Escolar, orientado a diversificar la enseñanza y ajustar las estrategias según sus necesidades de aprendizaje. En sala de clases, se sugiere entregar instrucciones claras, segmentadas y acompañadas de ejemplos concretos, especialmente en actividades que involucren razonamiento matemático, resolución de problemas, comprensión lectora y producción escrita. En sala de recursos, es pertinente reforzar habilidades instrumentales y funciones ejecutivas, tales como planificación, organización de tareas, gestión del tiempo y transferencia de aprendizajes a situaciones nuevas. La coordinación entre profesionales debe considerar seguimiento periódico de sus avances, revisión de evaluaciones y retroalimentación compartida, de modo que las adecuaciones se apliquen de manera coherente en las distintas asignaturas. También es importante promover espacios de participación en actividades grupales, resguardando un clima de confianza que fortalezca su autoconfianza académica, su motivación y su disposición a pedir ayuda cuando lo requiera.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contar con una rutina de estudio estable, con horarios definidos, pausas breves y un espacio tranquilo que favorezca la concentración. Es importante que la familia supervise la organización de materiales, tareas y evaluaciones, promoviendo progresivamente mayor autonomía mediante el uso de agenda, listas de pendientes o recordatorios visuales. Se recomienda acompañar el estudio de matemática mediante ejercicios breves y graduados, revisando paso a paso qué pide cada problema, qué datos entrega y qué procedimiento puede utilizar. También es favorable apoyar la lectura y escritura con actividades cotidianas, como leer textos breves, conversar sobre ideas principales y revisar ortografía y vocabulario sin generar presión excesiva. La familia debe reforzar sus logros y esfuerzos con mensajes positivos, favoreciendo su autoestima académica y su confianza para enfrentar desafíos. Asimismo, se sugiere resguardar una asistencia regular a clases, hábitos adecuados de descanso y alimentación, y mantener comunicación permanente con el establecimiento y el equipo PIE para acompañar de manera conjunta sus avances.</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La escuela se compromete a entregar apoyos pedagógicos diferenciados, realizar seguimiento de los avances de Isabella y mantener coordinación entre docentes de asignatura, profesora jefe y equipo PIE para ajustar oportunamente las estrategias de enseñanza.</w:t>
                </w:r>
              </w:p>
              <w:p>
                <w:pPr>
                  <w:spacing w:before="0" w:after="0" w:line="240" w:lineRule="auto"/>
                  <w:jc w:val="both"/>
                </w:pPr>
                <w:r>
                  <w:rPr>
                    <w:rFonts w:ascii="Arial" w:hAnsi="Arial" w:cs="Arial"/>
                    <w:sz w:val="20"/>
                    <w:szCs w:val="20"/>
                  </w:rPr>
                  <w:t>• La familia se compromete a favorecer una rutina de estudio en el hogar, supervisar el cumplimiento de tareas y materiales, reforzar positivamente los avances de Isabella y mantener comunicación con el establecimiento ante dudas o necesidades de apoyo.</w:t>
                </w:r>
              </w:p>
              <w:p>
                <w:pPr>
                  <w:spacing w:before="0" w:after="0" w:line="240" w:lineRule="auto"/>
                  <w:jc w:val="both"/>
                </w:pPr>
                <w:r>
                  <w:rPr>
                    <w:rFonts w:ascii="Arial" w:hAnsi="Arial" w:cs="Arial"/>
                    <w:sz w:val="20"/>
                    <w:szCs w:val="20"/>
                  </w:rPr>
                  <w:t>• Escuela y familia se comprometen a trabajar colaborativamente, compartiendo información relevante sobre el proceso escolar y socioemocional de Isabella, con el fin de fortalecer su asistencia, participación, autonomía y progreso en los aprendizajes.</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EDEE" w14:textId="77777777" w:rsidR="009F4E59" w:rsidRDefault="009F4E59">
      <w:r>
        <w:separator/>
      </w:r>
    </w:p>
  </w:endnote>
  <w:endnote w:type="continuationSeparator" w:id="0">
    <w:p w14:paraId="3DBD4272" w14:textId="77777777" w:rsidR="009F4E59" w:rsidRDefault="009F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B38AB87-6280-4C58-A303-5104829BD155}"/>
  </w:font>
  <w:font w:name="Arial Narrow">
    <w:panose1 w:val="020B0606020202030204"/>
    <w:charset w:val="00"/>
    <w:family w:val="swiss"/>
    <w:pitch w:val="variable"/>
    <w:sig w:usb0="00000287" w:usb1="00000800" w:usb2="00000000" w:usb3="00000000" w:csb0="0000009F" w:csb1="00000000"/>
    <w:embedRegular r:id="rId2" w:fontKey="{5C1611D3-4ED4-4A75-B707-EEF435FC118A}"/>
    <w:embedBold r:id="rId3" w:fontKey="{685C6E8A-9F33-44D7-B5CF-3AAC6EC5BE78}"/>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Bold r:id="rId4" w:fontKey="{739449A9-5300-4EFC-8406-21A1BC57B27B}"/>
  </w:font>
  <w:font w:name="Calibri">
    <w:panose1 w:val="020F0502020204030204"/>
    <w:charset w:val="00"/>
    <w:family w:val="swiss"/>
    <w:pitch w:val="variable"/>
    <w:sig w:usb0="E4002EFF" w:usb1="C200247B" w:usb2="00000009" w:usb3="00000000" w:csb0="000001FF" w:csb1="00000000"/>
    <w:embedRegular r:id="rId5" w:fontKey="{CD6FF543-68A6-422F-AC23-1EB2C10BE33A}"/>
  </w:font>
  <w:font w:name="Cambria">
    <w:panose1 w:val="02040503050406030204"/>
    <w:charset w:val="00"/>
    <w:family w:val="roman"/>
    <w:pitch w:val="variable"/>
    <w:sig w:usb0="E00006FF" w:usb1="420024FF" w:usb2="02000000" w:usb3="00000000" w:csb0="0000019F" w:csb1="00000000"/>
    <w:embedRegular r:id="rId6" w:fontKey="{807F3194-0C14-4E51-A081-BE1F22452B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7453" w14:textId="77777777" w:rsidR="009F4E59" w:rsidRDefault="009F4E59">
      <w:r>
        <w:separator/>
      </w:r>
    </w:p>
  </w:footnote>
  <w:footnote w:type="continuationSeparator" w:id="0">
    <w:p w14:paraId="06FAD30F" w14:textId="77777777" w:rsidR="009F4E59" w:rsidRDefault="009F4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4B5A"/>
    <w:rsid w:val="000F37CE"/>
    <w:rsid w:val="00153030"/>
    <w:rsid w:val="00193AD4"/>
    <w:rsid w:val="001D0EE8"/>
    <w:rsid w:val="003C20CE"/>
    <w:rsid w:val="00403841"/>
    <w:rsid w:val="004B6C06"/>
    <w:rsid w:val="00715E72"/>
    <w:rsid w:val="00790784"/>
    <w:rsid w:val="009F4E59"/>
    <w:rsid w:val="00AA063C"/>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000000" w:rsidRDefault="00FD7D49" w:rsidP="00FD7D49">
          <w:pPr>
            <w:pStyle w:val="F50FD50E6AEC4F61913FAC624C93839F"/>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000000" w:rsidRDefault="00FD7D49" w:rsidP="00FD7D49">
          <w:pPr>
            <w:pStyle w:val="FEFB846F6CBC4B7981422AF44B4FA0F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000000" w:rsidRDefault="00FD7D49" w:rsidP="00FD7D49">
          <w:pPr>
            <w:pStyle w:val="F3D54CA46F314914947DF77E2E4831BE"/>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000000" w:rsidRDefault="00FD7D49" w:rsidP="00FD7D49">
          <w:pPr>
            <w:pStyle w:val="860CFA0E63C94C9EB0C97CF548AA4D2C"/>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000000" w:rsidRDefault="00FD7D49" w:rsidP="00FD7D49">
          <w:pPr>
            <w:pStyle w:val="550BB82333784842A6DBEFC4339A7096"/>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000000" w:rsidRDefault="00FD7D49" w:rsidP="00FD7D49">
          <w:pPr>
            <w:pStyle w:val="18D015F4FC1F4045869187912DBCAA8B"/>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000000" w:rsidRDefault="00FD7D49" w:rsidP="00FD7D49">
          <w:pPr>
            <w:pStyle w:val="54308B3C27894818992238DBE68E9048"/>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000000" w:rsidRDefault="00FD7D49" w:rsidP="00FD7D49">
          <w:pPr>
            <w:pStyle w:val="6E7A44EE595B4789911B4D5B0CB32A5A"/>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000000" w:rsidRDefault="00FD7D49" w:rsidP="00FD7D49">
          <w:pPr>
            <w:pStyle w:val="76730A803DC443EB9956D73085023356"/>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000000" w:rsidRDefault="00FD7D49" w:rsidP="00FD7D49">
          <w:pPr>
            <w:pStyle w:val="C5AA23FB63434028852998767EFD17E6"/>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000000" w:rsidRDefault="00FD7D49" w:rsidP="00FD7D49">
          <w:pPr>
            <w:pStyle w:val="556B7504BF094480876F2D0AC1DF4DCC"/>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000000" w:rsidRDefault="00FD7D49" w:rsidP="00FD7D49">
          <w:pPr>
            <w:pStyle w:val="5F56DAD9B7804731AADE1F21A1BDB92C"/>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000000" w:rsidRDefault="00FD7D49" w:rsidP="00FD7D49">
          <w:pPr>
            <w:pStyle w:val="7AFCD5927E5040D6A3DE8AF6BDC81B0E"/>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000000" w:rsidRDefault="00FD7D49" w:rsidP="00FD7D49">
          <w:pPr>
            <w:pStyle w:val="75BA0F045C424203B379DD681D13B857"/>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000000" w:rsidRDefault="00FD7D49" w:rsidP="00FD7D49">
          <w:pPr>
            <w:pStyle w:val="864A1B060EAB451F85D223177770E2DF"/>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000000" w:rsidRDefault="00FD7D49" w:rsidP="00FD7D49">
          <w:pPr>
            <w:pStyle w:val="46C4F055A8D84B7AB6B065A8E57853EA"/>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193AD4"/>
    <w:rsid w:val="00371C87"/>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7D49"/>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B3040584EEE748FC95D1745D9EAA67FE">
    <w:name w:val="B3040584EEE748FC95D1745D9EAA67FE"/>
    <w:rsid w:val="00FD7D49"/>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486</Words>
  <Characters>2678</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3</cp:revision>
  <dcterms:created xsi:type="dcterms:W3CDTF">2026-06-19T14:36:00Z</dcterms:created>
  <dcterms:modified xsi:type="dcterms:W3CDTF">2026-07-03T21:34:00Z</dcterms:modified>
</cp:coreProperties>
</file>